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0"/>
          <w:szCs w:val="40"/>
        </w:rPr>
      </w:pP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物业评估服务协议书</w:t>
      </w:r>
    </w:p>
    <w:p>
      <w:pPr>
        <w:jc w:val="center"/>
        <w:rPr>
          <w:rFonts w:hint="eastAsia" w:ascii="方正小标宋简体" w:hAnsi="方正小标宋简体" w:eastAsia="方正小标宋简体" w:cs="方正小标宋简体"/>
          <w:b w:val="0"/>
          <w:bCs w:val="0"/>
          <w:sz w:val="40"/>
          <w:szCs w:val="40"/>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甲方(委托方):</w:t>
      </w:r>
      <w:r>
        <w:rPr>
          <w:rFonts w:hint="eastAsia" w:ascii="仿宋_GB2312" w:hAnsi="仿宋_GB2312" w:eastAsia="仿宋_GB2312" w:cs="仿宋_GB2312"/>
          <w:sz w:val="32"/>
          <w:szCs w:val="32"/>
          <w:u w:val="single"/>
        </w:rPr>
        <w:t>汕头市投资控股集团有限公司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乙方(受托方):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根据甲方202</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日网上发布《关于公开选聘资产评估机构的公告》要求，经对报名的中介服务机构中进行资格审查及筛选，现依据《中华人民共和国民法典》及有关法律、法规，遵循平等、自愿、公平和诚实信用的原则，就物业租金评估服务事项协商一致，订立本协议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一、服务方式和期限</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乙方作为本次中标中介服务机构为甲方及其下属企业提供物业评估服务事宜，期限为两年，时间从202</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日起至202</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日止。</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服务期限内，单项物业评估服务再单独另行签订业务约定书</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二、甲方的权利和义务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(一)甲方或其下属企业委托乙方进行单项物业评估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应向乙方说明评估要求，即具体评估项目及内容。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(二)乙方按要求完成评估工作后，甲方或其下属企业应按照单项业务约定书约定的评估服务费用按时向乙方支付费用。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(三)若甲方或其下属企业有物业评估业务需求，乙方应及时进行评估，并于</w:t>
      </w:r>
      <w:r>
        <w:rPr>
          <w:rFonts w:hint="eastAsia" w:ascii="仿宋_GB2312" w:hAnsi="仿宋_GB2312" w:eastAsia="仿宋_GB2312" w:cs="仿宋_GB2312"/>
          <w:sz w:val="32"/>
          <w:szCs w:val="32"/>
          <w:u w:val="single"/>
        </w:rPr>
        <w:t>3</w:t>
      </w:r>
      <w:r>
        <w:rPr>
          <w:rFonts w:hint="eastAsia" w:ascii="仿宋_GB2312" w:hAnsi="仿宋_GB2312" w:eastAsia="仿宋_GB2312" w:cs="仿宋_GB2312"/>
          <w:sz w:val="32"/>
          <w:szCs w:val="32"/>
        </w:rPr>
        <w:t>日内出具初步评估结果，否则甲方有权解除合同并另行委托其他资产评估机构进行评估</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三、乙方的权利和义务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(一)乙方应严格按照甲方或其下属企业的要求提供评估服务。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(二)如乙方对某一评估项目缺乏专业胜任能力，无法接受该项目委托，乙方须事前向甲方或其下属企业说明，甲方有权另行委托其他资产评估机构进行评估</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四、收费标准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(一)物业出租/出借收费标准</w:t>
      </w:r>
      <w:r>
        <w:rPr>
          <w:rFonts w:hint="eastAsia" w:ascii="仿宋_GB2312" w:hAnsi="仿宋_GB2312" w:eastAsia="仿宋_GB2312" w:cs="仿宋_GB2312"/>
          <w:sz w:val="32"/>
          <w:szCs w:val="32"/>
        </w:rPr>
        <w:t>。评估机构收费须以每宗出租/出借物业年租金评估值，参照《广东省物价局关于资产评估收费有关通知》，按以下标准分段累计:</w:t>
      </w:r>
    </w:p>
    <w:tbl>
      <w:tblPr>
        <w:tblStyle w:val="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3424"/>
        <w:gridCol w:w="1883"/>
        <w:gridCol w:w="2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11"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档次</w:t>
            </w:r>
          </w:p>
        </w:tc>
        <w:tc>
          <w:tcPr>
            <w:tcW w:w="200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年租金（万元）</w:t>
            </w:r>
          </w:p>
        </w:tc>
        <w:tc>
          <w:tcPr>
            <w:tcW w:w="110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差额计费率</w:t>
            </w:r>
          </w:p>
        </w:tc>
        <w:tc>
          <w:tcPr>
            <w:tcW w:w="147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11"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00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100以下（含100）</w:t>
            </w:r>
          </w:p>
        </w:tc>
        <w:tc>
          <w:tcPr>
            <w:tcW w:w="110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473" w:type="pct"/>
            <w:vMerge w:val="restar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每宗评估费不足1000元的按1000元收取（即最低收费1000元整）；</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每宗评估费超过30000元的按30000元收取（即最高收费30000元整）。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411"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00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100以上-1000（含1000）</w:t>
            </w:r>
          </w:p>
        </w:tc>
        <w:tc>
          <w:tcPr>
            <w:tcW w:w="110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0.45%</w:t>
            </w:r>
          </w:p>
        </w:tc>
        <w:tc>
          <w:tcPr>
            <w:tcW w:w="1473"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11"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00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1000以上-5000（含5000）</w:t>
            </w:r>
          </w:p>
        </w:tc>
        <w:tc>
          <w:tcPr>
            <w:tcW w:w="110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0.15%</w:t>
            </w:r>
          </w:p>
        </w:tc>
        <w:tc>
          <w:tcPr>
            <w:tcW w:w="1473"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00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5000以上</w:t>
            </w:r>
          </w:p>
        </w:tc>
        <w:tc>
          <w:tcPr>
            <w:tcW w:w="110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w:t>
            </w:r>
          </w:p>
        </w:tc>
        <w:tc>
          <w:tcPr>
            <w:tcW w:w="1473"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24"/>
                <w:szCs w:val="24"/>
                <w:vertAlign w:val="baseline"/>
                <w:lang w:val="en-US" w:eastAsia="zh-CN"/>
              </w:rPr>
            </w:pPr>
          </w:p>
        </w:tc>
      </w:tr>
    </w:tbl>
    <w:p>
      <w:pPr>
        <w:keepNext w:val="0"/>
        <w:keepLines w:val="0"/>
        <w:pageBreakBefore w:val="0"/>
        <w:widowControl w:val="0"/>
        <w:numPr>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(二)转让、抵押等其他评估情形收费标准</w:t>
      </w:r>
      <w:r>
        <w:rPr>
          <w:rFonts w:hint="eastAsia" w:ascii="仿宋_GB2312" w:hAnsi="仿宋_GB2312" w:eastAsia="仿宋_GB2312" w:cs="仿宋_GB2312"/>
          <w:sz w:val="32"/>
          <w:szCs w:val="32"/>
        </w:rPr>
        <w:t>。评估机构收费参照《广东省物价局关于资产评估收费有关通知》中“计件收费标准”按20%折扣计费，即按以下标准分段累计:</w:t>
      </w:r>
    </w:p>
    <w:tbl>
      <w:tblPr>
        <w:tblStyle w:val="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3426"/>
        <w:gridCol w:w="1582"/>
        <w:gridCol w:w="2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档次</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评估价值额度（万元）</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差额计费率</w:t>
            </w:r>
          </w:p>
        </w:tc>
        <w:tc>
          <w:tcPr>
            <w:tcW w:w="165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100以下（含100）</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0.8%</w:t>
            </w:r>
          </w:p>
        </w:tc>
        <w:tc>
          <w:tcPr>
            <w:tcW w:w="1650" w:type="pct"/>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1.每宗评估费不足</w:t>
            </w:r>
            <w:bookmarkStart w:id="0" w:name="_GoBack"/>
            <w:bookmarkEnd w:id="0"/>
            <w:r>
              <w:rPr>
                <w:rFonts w:hint="eastAsia" w:ascii="仿宋_GB2312" w:hAnsi="仿宋_GB2312" w:eastAsia="仿宋_GB2312" w:cs="仿宋_GB2312"/>
                <w:sz w:val="24"/>
                <w:szCs w:val="24"/>
                <w:vertAlign w:val="baseline"/>
                <w:lang w:val="en-US" w:eastAsia="zh-CN"/>
              </w:rPr>
              <w:t>1000元的按1000元收取。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4"/>
                <w:szCs w:val="24"/>
                <w:vertAlign w:val="baseline"/>
                <w:lang w:val="en-US" w:eastAsia="zh-CN"/>
              </w:rPr>
              <w:t>2.对无形资产、企业上市、破产清算、法律纠纷等较复杂的资产评估业务，经双方协商同意，可根据评估项目、时间要求、风险责任等因素，评估收费总额可上浮不高于30%。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100以上-1000（含1000）</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0.36%</w:t>
            </w:r>
          </w:p>
        </w:tc>
        <w:tc>
          <w:tcPr>
            <w:tcW w:w="1650"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trPr>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1000以上-5000（含5000）</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0.12%</w:t>
            </w:r>
          </w:p>
        </w:tc>
        <w:tc>
          <w:tcPr>
            <w:tcW w:w="1650"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5000以上-10000（含10000）</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0.08%</w:t>
            </w:r>
          </w:p>
        </w:tc>
        <w:tc>
          <w:tcPr>
            <w:tcW w:w="1650"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10000以上-100000（含100000）</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0.016%</w:t>
            </w:r>
          </w:p>
        </w:tc>
        <w:tc>
          <w:tcPr>
            <w:tcW w:w="1650"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4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0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100000以上</w:t>
            </w:r>
          </w:p>
        </w:tc>
        <w:tc>
          <w:tcPr>
            <w:tcW w:w="92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0.012%</w:t>
            </w:r>
          </w:p>
        </w:tc>
        <w:tc>
          <w:tcPr>
            <w:tcW w:w="1650"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24"/>
                <w:szCs w:val="24"/>
                <w:vertAlign w:val="baseline"/>
                <w:lang w:val="en-US" w:eastAsia="zh-CN"/>
              </w:rPr>
            </w:pPr>
          </w:p>
        </w:tc>
      </w:tr>
    </w:tbl>
    <w:p>
      <w:pPr>
        <w:keepNext w:val="0"/>
        <w:keepLines w:val="0"/>
        <w:pageBreakBefore w:val="0"/>
        <w:widowControl w:val="0"/>
        <w:numPr>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上述两项收费标准均含中介机构差旅费用，即业主委托单位不承担差旅费用</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(三)具体支付方式在业务约定书另行约定。</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五、争议解决方式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因本协议引起的或与本合同有关的任何争议，由合同名方协商解决。协商或调解不成的，任何一方有权提交汕头</w:t>
      </w:r>
      <w:r>
        <w:rPr>
          <w:rFonts w:hint="eastAsia" w:ascii="仿宋_GB2312" w:hAnsi="仿宋_GB2312" w:eastAsia="仿宋_GB2312" w:cs="仿宋_GB2312"/>
          <w:sz w:val="32"/>
          <w:szCs w:val="32"/>
          <w:lang w:val="en-US" w:eastAsia="zh-CN"/>
        </w:rPr>
        <w:t>仲</w:t>
      </w:r>
      <w:r>
        <w:rPr>
          <w:rFonts w:hint="eastAsia" w:ascii="仿宋_GB2312" w:hAnsi="仿宋_GB2312" w:eastAsia="仿宋_GB2312" w:cs="仿宋_GB2312"/>
          <w:sz w:val="32"/>
          <w:szCs w:val="32"/>
        </w:rPr>
        <w:t>裁委员会进行仲裁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六、法律效力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(一)本协议经双方授权代表人签字(或签章)并加盖单位公章之日起生效，并在协议约定终止时间到期后自动</w:t>
      </w:r>
      <w:r>
        <w:rPr>
          <w:rFonts w:hint="eastAsia" w:ascii="仿宋_GB2312" w:hAnsi="仿宋_GB2312" w:eastAsia="仿宋_GB2312" w:cs="仿宋_GB2312"/>
          <w:sz w:val="32"/>
          <w:szCs w:val="32"/>
          <w:lang w:val="en-US" w:eastAsia="zh-CN"/>
        </w:rPr>
        <w:t>失效。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(二)本协议一式两份，甲、乙双方各执一份，具有同等法律效力。</w:t>
      </w:r>
    </w:p>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本页为签署页</w:t>
      </w:r>
      <w:r>
        <w:rPr>
          <w:rFonts w:hint="eastAsia" w:ascii="仿宋_GB2312" w:hAnsi="仿宋_GB2312" w:eastAsia="仿宋_GB2312" w:cs="仿宋_GB2312"/>
          <w:sz w:val="32"/>
          <w:szCs w:val="32"/>
          <w:lang w:eastAsia="zh-CN"/>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甲方单位(盖章)</w:t>
      </w:r>
      <w:r>
        <w:rPr>
          <w:rFonts w:hint="eastAsia" w:ascii="仿宋_GB2312" w:hAnsi="仿宋_GB2312" w:eastAsia="仿宋_GB2312" w:cs="仿宋_GB2312"/>
          <w:sz w:val="32"/>
          <w:szCs w:val="32"/>
          <w:lang w:eastAsia="zh-CN"/>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法定代表人(或授权代表人):</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乙方单位(盖章)</w:t>
      </w:r>
      <w:r>
        <w:rPr>
          <w:rFonts w:hint="eastAsia" w:ascii="仿宋_GB2312" w:hAnsi="仿宋_GB2312" w:eastAsia="仿宋_GB2312" w:cs="仿宋_GB2312"/>
          <w:sz w:val="32"/>
          <w:szCs w:val="32"/>
          <w:lang w:eastAsia="zh-CN"/>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法定代表人(或授权代表人)</w:t>
      </w:r>
      <w:r>
        <w:rPr>
          <w:rFonts w:hint="eastAsia" w:ascii="仿宋_GB2312" w:hAnsi="仿宋_GB2312" w:eastAsia="仿宋_GB2312" w:cs="仿宋_GB2312"/>
          <w:sz w:val="32"/>
          <w:szCs w:val="32"/>
          <w:lang w:eastAsia="zh-CN"/>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签订日期:20</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88629"/>
    <w:multiLevelType w:val="singleLevel"/>
    <w:tmpl w:val="33D8862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C15C04"/>
    <w:rsid w:val="0A095FA3"/>
    <w:rsid w:val="15262156"/>
    <w:rsid w:val="189E233A"/>
    <w:rsid w:val="2B0A6145"/>
    <w:rsid w:val="3B2B660B"/>
    <w:rsid w:val="412637E6"/>
    <w:rsid w:val="41C15C04"/>
    <w:rsid w:val="4C9C3360"/>
    <w:rsid w:val="55554EFE"/>
    <w:rsid w:val="571F5429"/>
    <w:rsid w:val="652A7EC3"/>
    <w:rsid w:val="7B4227DD"/>
    <w:rsid w:val="7EFC6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2024-12-02T08:10:00Z</dcterms:created>
  <dc:creator>李瑞婷</dc:creator>
  <cp:lastModifiedBy>李瑞婷</cp:lastModifiedBy>
  <dcterms:modified xsi:type="dcterms:W3CDTF">2024-12-02T08:28:44Z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